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0131001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F5489"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ПУБЛИЧНАЯ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ОФЕРТА</w:t>
      </w:r>
    </w:p>
    <w:p w14:paraId="00000002" w14:textId="1E4C23F4" w:rsidR="00E01A11" w:rsidRDefault="00E01A11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03" w14:textId="155314B6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Общество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ограниченной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ответственностью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«СТРОЙАУДИТЭКСПЕРТ»,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именуемое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дальнейшем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«Исполнитель»,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лице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генерального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директора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Чуйкина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Дмитрия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Сергеевича</w:t>
      </w:r>
      <w:r w:rsidR="003D2254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действующего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основании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Устава,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одной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стороны,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публикует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Публичную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оферту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оказании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услуг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лабораторных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испытаний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образцов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трубной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продукции</w:t>
      </w:r>
      <w:r w:rsidR="003D225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0000004" w14:textId="021EBB5B" w:rsidR="00E01A11" w:rsidRDefault="005A0FEE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0000005" w14:textId="5F0E5244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ОПРЕДЕЛЕНИЕ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ТЕРМИНОВ</w:t>
      </w:r>
    </w:p>
    <w:p w14:paraId="00000006" w14:textId="3E6189DE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1.1.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Публичная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оферта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(далее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«Оферта»)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публичное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предложение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Исполнителя,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адресованное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неопределенному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кругу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лиц,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заключить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Исполнителем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оказания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услуг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дистанционным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способом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(далее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«Договор»)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условиях,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содержащихся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настоящей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Оферте,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включая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все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Приложения.</w:t>
      </w:r>
    </w:p>
    <w:p w14:paraId="00000007" w14:textId="6AAAA214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1.2.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физическое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юридическое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лицо,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принявшее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решение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заказать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услуги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соответствии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данным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договором.</w:t>
      </w:r>
    </w:p>
    <w:p w14:paraId="00000008" w14:textId="750AAFB1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1.3.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услуг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сайте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позиции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услуг,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указанные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перечне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сайте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индивидуальном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подборе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после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размещения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сайте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="00093FA1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mail</w:t>
      </w:r>
      <w:r w:rsidR="003F5489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45818E"/>
            <w:sz w:val="24"/>
            <w:szCs w:val="24"/>
            <w:u w:val="single"/>
          </w:rPr>
          <w:t>info@trubexp.ru</w:t>
        </w:r>
      </w:hyperlink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0000009" w14:textId="1C8CE2F3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1.4.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Трубная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продукция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—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это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изделия,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которым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процессе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производства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придается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сечение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определенной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формы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полостью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внутри.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числе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трубы,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колодцы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фитинги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полиэтилена,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полипропилена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для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внутренних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внешних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трубопроводных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коммуникаций.</w:t>
      </w:r>
    </w:p>
    <w:p w14:paraId="0000000A" w14:textId="1CC31B8D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ПРЕДМЕТ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ДОГОВОРА</w:t>
      </w:r>
    </w:p>
    <w:p w14:paraId="0000000B" w14:textId="447065EF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2.1.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поручает,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принимает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себя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обязательство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надлежащим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оказать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услуги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испытаний,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числе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образцов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трубной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продукции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(далее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«Услуги»),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обязуется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оплатить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Услуги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соответствии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условиями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Договора.</w:t>
      </w:r>
    </w:p>
    <w:p w14:paraId="0000000C" w14:textId="4473765D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2.2.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Если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иное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предусмотрено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Заявке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испытания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проводятся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лабораторией,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аккредитованной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национальной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системе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аккредитации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областью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аккредитации,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необходимой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для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испытаний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образцов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трубы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соответствие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требованиям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(положениям),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установленным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соответствующими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документами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стандартизации.</w:t>
      </w:r>
    </w:p>
    <w:p w14:paraId="557B6D8A" w14:textId="2CE0C2BD" w:rsidR="00DB6A4A" w:rsidRDefault="00892D4A" w:rsidP="00093F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DB6A4A"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.3.</w:t>
      </w:r>
      <w:r w:rsidR="00DB6A4A"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При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B6A4A"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необходимости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согласованию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B6A4A"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испытания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B6A4A"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могут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B6A4A"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быть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B6A4A"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B6A4A"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B6A4A"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испытательной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B6A4A"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лаборатории,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B6A4A"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отсутствующей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B6A4A"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B6A4A"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реестре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B6A4A"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аккредитованных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B6A4A"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лиц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B6A4A"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Федеральной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B6A4A"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службы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B6A4A"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B6A4A" w:rsidRPr="00DB6A4A">
        <w:rPr>
          <w:rFonts w:ascii="Times New Roman" w:eastAsia="Times New Roman" w:hAnsi="Times New Roman" w:cs="Times New Roman"/>
          <w:color w:val="222222"/>
          <w:sz w:val="24"/>
          <w:szCs w:val="24"/>
        </w:rPr>
        <w:t>аккредитации.</w:t>
      </w:r>
    </w:p>
    <w:p w14:paraId="00000012" w14:textId="75952A1F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2.</w:t>
      </w:r>
      <w:r w:rsid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оказывает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Услуги,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предусмотренные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2.1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Договора,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основании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письменной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аявки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(далее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«Заявка»)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форме,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установленной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Приложении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к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настоящему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Договору-оферте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Заявка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должна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быть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направлена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Исполнителю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посредством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электронной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почты,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адрес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электронной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почты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info</w:t>
      </w:r>
      <w:r w:rsidR="00892D4A"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@</w:t>
      </w:r>
      <w:r w:rsidR="00892D4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trubexp</w:t>
      </w:r>
      <w:r w:rsidR="00892D4A"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892D4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ru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0000013" w14:textId="540C35AC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2.</w:t>
      </w:r>
      <w:r w:rsid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Образцы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труб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из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полиэтилена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низкого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давления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полипропилена,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переданные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для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испытаний,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являются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невозвратными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утилизируются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счёт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Исполнителя.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Образцы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труб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из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стеклопластика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после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испытаний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утилизируются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счёт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2D4A" w:rsidRPr="00892D4A"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Заказчика.</w:t>
      </w:r>
    </w:p>
    <w:p w14:paraId="00000014" w14:textId="6519806E" w:rsidR="00E01A11" w:rsidRDefault="005A0FEE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0000015" w14:textId="43955E58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ОБЯЗАННОСТИ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</w:t>
      </w:r>
    </w:p>
    <w:p w14:paraId="00000016" w14:textId="46CAA6EF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3.1.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обязуется:</w:t>
      </w:r>
    </w:p>
    <w:p w14:paraId="00000017" w14:textId="145F17DC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3.1.1.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Оказывать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Услуги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добросовестно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установленные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сроки,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полном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соответствии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согласованной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Заявкой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Заказчика;</w:t>
      </w:r>
    </w:p>
    <w:p w14:paraId="00000018" w14:textId="20A4A71B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3.1.2.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Заключить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соответствующими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Лабораториями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иными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организациями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для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оказания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Услуг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соответствующей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Заявке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Договору;</w:t>
      </w:r>
    </w:p>
    <w:p w14:paraId="00000019" w14:textId="366F8050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3.1.3.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Передать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Протокол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испытаний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результатам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каждого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проведенного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испытания;</w:t>
      </w:r>
    </w:p>
    <w:p w14:paraId="0000001A" w14:textId="30ABBD1C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3.1.4.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Передать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Заказчику,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подписанный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уполномоченным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лицом,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Акт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оказании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услуг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Заявке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(двух)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экземплярах;</w:t>
      </w:r>
    </w:p>
    <w:p w14:paraId="0000001B" w14:textId="7BBA8D85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3.1.5.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наличии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исправить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обнаруженные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недостатки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срок,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указанный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соответствующем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акте,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подписанном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Сторонами.</w:t>
      </w:r>
    </w:p>
    <w:p w14:paraId="0000001C" w14:textId="68BB5091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3.2.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обязуется:</w:t>
      </w:r>
    </w:p>
    <w:p w14:paraId="0000001D" w14:textId="4FA47849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3.2.1.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Обеспечить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доставку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к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месту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испытаний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рабочие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дни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="005034DB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00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до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16</w:t>
      </w:r>
      <w:r w:rsidR="005034DB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00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чистые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образцы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труб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без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следов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грязи,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упакованные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транспортную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тару,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обеспечивающую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сохранность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образцов,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имеющихся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них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пломб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маркировки,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также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подписанный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акт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отбора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образцов,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сопроводительную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документацию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(сертификат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соответствия,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паспорт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качества);</w:t>
      </w:r>
    </w:p>
    <w:p w14:paraId="0000001E" w14:textId="78FC2381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3.2.2.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Оплатить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Услуги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полном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объеме;</w:t>
      </w:r>
    </w:p>
    <w:p w14:paraId="0BD07521" w14:textId="7FAE62C9" w:rsidR="000C0623" w:rsidRDefault="00DB6A4A" w:rsidP="000C06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3.2.3.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Принять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Протокол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испытаний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образц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ов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труб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передать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Исполнителю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оригинал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подписанного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Акта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оказании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услуг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Договору.</w:t>
      </w:r>
    </w:p>
    <w:p w14:paraId="0000001F" w14:textId="572A1BAC" w:rsidR="00E01A11" w:rsidRDefault="00E01A11" w:rsidP="000C06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DCDAB1C" w14:textId="7790BCA5" w:rsidR="003D2254" w:rsidRDefault="00DB6A4A" w:rsidP="00093F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ПОРЯДОК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ОКАЗАНИЯ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ПРИЕМКИ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УСЛУГ</w:t>
      </w:r>
    </w:p>
    <w:p w14:paraId="00000022" w14:textId="4DC0A44F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4.1.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оказывает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Услуги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основании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полученной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Заявки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форме,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установленной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Приложении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настоящему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Договору</w:t>
      </w:r>
      <w:r w:rsid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-оферте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Заявка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должна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быть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подписана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исполнительным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либо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уполномоченным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лицом.</w:t>
      </w:r>
    </w:p>
    <w:p w14:paraId="00000023" w14:textId="360312C3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4.2.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После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получения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от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оплаты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обеспечивает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приемку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образцов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трубы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месте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испытаний.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дате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времени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доставки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образцов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труб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сообщает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Исполнителю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0623">
        <w:rPr>
          <w:rFonts w:ascii="Times New Roman" w:eastAsia="Times New Roman" w:hAnsi="Times New Roman" w:cs="Times New Roman"/>
          <w:color w:val="222222"/>
          <w:sz w:val="24"/>
          <w:szCs w:val="24"/>
        </w:rPr>
        <w:t>заблаговременно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любым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доступным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способом,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числе,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телефону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034DB"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034DB">
        <w:rPr>
          <w:rFonts w:ascii="Times New Roman" w:eastAsia="Times New Roman" w:hAnsi="Times New Roman" w:cs="Times New Roman"/>
          <w:color w:val="222222"/>
          <w:sz w:val="24"/>
          <w:szCs w:val="24"/>
        </w:rPr>
        <w:t>электронной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034DB">
        <w:rPr>
          <w:rFonts w:ascii="Times New Roman" w:eastAsia="Times New Roman" w:hAnsi="Times New Roman" w:cs="Times New Roman"/>
          <w:color w:val="222222"/>
          <w:sz w:val="24"/>
          <w:szCs w:val="24"/>
        </w:rPr>
        <w:t>почте</w:t>
      </w:r>
    </w:p>
    <w:p w14:paraId="00000024" w14:textId="0ECC4058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4.3.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своими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силами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свой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счет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осуществляет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доставку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разгрузку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образцов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трубы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адресу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испытаний.</w:t>
      </w:r>
    </w:p>
    <w:p w14:paraId="00000025" w14:textId="77F4BA21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4.4.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Вместе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образцами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трубы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передает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документы,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указанные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034DB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.2.1.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Договора,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представителю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месте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испытаний.</w:t>
      </w:r>
    </w:p>
    <w:p w14:paraId="00000026" w14:textId="3DB51545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4.5.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Образец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трубы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передается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Акту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приема-передачи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образца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трубы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иному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документу,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подтверждающему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передачу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образца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для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испытаний.</w:t>
      </w:r>
    </w:p>
    <w:p w14:paraId="00000027" w14:textId="341CA66E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4.6.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Испытания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проводятся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течение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установленного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Заявке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срока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начиная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даты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подписания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представителем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Акта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приема-передачи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образца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трубы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иного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документа,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подтверждающего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передачу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образца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трубы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для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испытаний.</w:t>
      </w:r>
    </w:p>
    <w:p w14:paraId="00000028" w14:textId="37CBE02F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4.7.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течение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(пяти)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рабочих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дней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даты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окончания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034DB">
        <w:rPr>
          <w:rFonts w:ascii="Times New Roman" w:eastAsia="Times New Roman" w:hAnsi="Times New Roman" w:cs="Times New Roman"/>
          <w:color w:val="222222"/>
          <w:sz w:val="24"/>
          <w:szCs w:val="24"/>
        </w:rPr>
        <w:t>последнего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034DB">
        <w:rPr>
          <w:rFonts w:ascii="Times New Roman" w:eastAsia="Times New Roman" w:hAnsi="Times New Roman" w:cs="Times New Roman"/>
          <w:color w:val="222222"/>
          <w:sz w:val="24"/>
          <w:szCs w:val="24"/>
        </w:rPr>
        <w:t>из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испытаний</w:t>
      </w:r>
      <w:r w:rsidR="005034DB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034DB">
        <w:rPr>
          <w:rFonts w:ascii="Times New Roman" w:eastAsia="Times New Roman" w:hAnsi="Times New Roman" w:cs="Times New Roman"/>
          <w:color w:val="222222"/>
          <w:sz w:val="24"/>
          <w:szCs w:val="24"/>
        </w:rPr>
        <w:t>указанных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034DB"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034DB">
        <w:rPr>
          <w:rFonts w:ascii="Times New Roman" w:eastAsia="Times New Roman" w:hAnsi="Times New Roman" w:cs="Times New Roman"/>
          <w:color w:val="222222"/>
          <w:sz w:val="24"/>
          <w:szCs w:val="24"/>
        </w:rPr>
        <w:t>Заявке,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направляет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Протокол</w:t>
      </w:r>
      <w:r w:rsidR="005034DB">
        <w:rPr>
          <w:rFonts w:ascii="Times New Roman" w:eastAsia="Times New Roman" w:hAnsi="Times New Roman" w:cs="Times New Roman"/>
          <w:color w:val="222222"/>
          <w:sz w:val="24"/>
          <w:szCs w:val="24"/>
        </w:rPr>
        <w:t>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испытаний.</w:t>
      </w:r>
    </w:p>
    <w:p w14:paraId="00000029" w14:textId="576165F0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4.8.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Вместе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Протокол</w:t>
      </w:r>
      <w:r w:rsidR="005034DB">
        <w:rPr>
          <w:rFonts w:ascii="Times New Roman" w:eastAsia="Times New Roman" w:hAnsi="Times New Roman" w:cs="Times New Roman"/>
          <w:color w:val="222222"/>
          <w:sz w:val="24"/>
          <w:szCs w:val="24"/>
        </w:rPr>
        <w:t>ами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испытаний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направляет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Акт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оказании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услуг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Заявке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(далее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«Акт»)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(двух)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экземплярах.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течение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(пяти)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рабочих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дней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дня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получения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Акта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обязан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вернуть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Исполнителю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(один)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экземпляр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подписанного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Акта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мотивированный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отказ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подписания.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случае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неполучения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Исполнителем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указанные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сроки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подписанного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Акта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мотивированного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отказа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подписания,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считается,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что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услуги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оказаны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должным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образом,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приняты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полном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объеме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без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замечаний.</w:t>
      </w:r>
    </w:p>
    <w:p w14:paraId="0000002A" w14:textId="2EF38740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4.9.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имеет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право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отказаться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подписания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Акта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случае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непредоставления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Исполнителем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Протокола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испытаний.</w:t>
      </w:r>
    </w:p>
    <w:p w14:paraId="0000002B" w14:textId="107C4F12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4.10.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случае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получения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Исполнителем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срок,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установленный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4.8.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Договора,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мотивированного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отказа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приемки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Услуг,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последующие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(пять)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рабочих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дней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Сторонами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составляется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двусторонний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акт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перечнем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необходимых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доработок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сроками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исполнения.</w:t>
      </w:r>
    </w:p>
    <w:p w14:paraId="0000002C" w14:textId="63F84621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4.11.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Обязательства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соответствующей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Заявке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Заказчика,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направленной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Договору,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считаются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выполненными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Исполнителем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добросовестно,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полном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объеме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без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замечаний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даты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подписания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Сторонами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Акта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случае,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если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Исполнителем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получен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Акт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мотивированный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отказ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Заказчика,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согласно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4.8.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Договора,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истечению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(пяти)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рабочих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дней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дня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получения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соответствующего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Акта,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направленного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Исполнителем.</w:t>
      </w:r>
    </w:p>
    <w:p w14:paraId="0000002D" w14:textId="1AA9D170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4.12.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подтверждает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согласие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передачу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Исполнителем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информации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результатах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лабораторных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испытаний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информации,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содержащаяся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заключениях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результатам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лабораторных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испытаний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отобранных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образцов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продукции,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третьим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лицам,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числе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опубликование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указанной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информации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информационно-телекоммуникационной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системе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«Интернет»,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средствах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массовой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информации.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14:paraId="0000002E" w14:textId="7C997707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СТОИМОСТЬ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ПОРЯДОК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РАСЧЕТОВ</w:t>
      </w:r>
    </w:p>
    <w:p w14:paraId="0000002F" w14:textId="225A8BBC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5.1.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Стоимость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Услуг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Заявке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определяется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исходя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указанного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перечня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испытаний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указывается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Счет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оплату.</w:t>
      </w:r>
    </w:p>
    <w:p w14:paraId="00000030" w14:textId="1506B33D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5.2.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Оплата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Услуг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Заявке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производится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основании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Счета,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выставленного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Исполнителем,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путем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внесения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100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%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предоплаты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расчетный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счет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Исполнителя,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указанный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Счете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оплату.</w:t>
      </w:r>
    </w:p>
    <w:p w14:paraId="00000031" w14:textId="3053F14E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5.3.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Счет,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выставленный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основании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Заявки,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является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офертой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(предложением)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для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акцепта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(принятием)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смыслу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статьи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438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ГК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РФ.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момента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оплаты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Счета,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он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считается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акцептованным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(как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если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был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прямо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подписан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им)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является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безоговорочным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согласием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условиями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данного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Счета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настоящего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0000032" w14:textId="4D49D951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5.4.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заполнении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бланка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платежного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поручения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назначении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платежа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обязан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указать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№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дату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Счета,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которому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производится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платеж.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случае,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когда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оплата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производится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суммарно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нескольким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выставленным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Счетам,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необходимо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назначении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платежа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выделять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суммы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разным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Счетам,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указанием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самих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Счетов.</w:t>
      </w:r>
    </w:p>
    <w:p w14:paraId="00000033" w14:textId="4678AEE3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5.5.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Датой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оплаты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Услуг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Заявке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считается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поступления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денежных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средств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расчетный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счет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Исполнителя.</w:t>
      </w:r>
    </w:p>
    <w:p w14:paraId="00000034" w14:textId="3223E529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5.6.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связи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применением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Исполнителем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упрощенной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системы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налогообложения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НДС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оплате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предъявляется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(ст.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346.11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НК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РФ).</w:t>
      </w:r>
    </w:p>
    <w:p w14:paraId="00000035" w14:textId="7A4E249F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5.7.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После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подписания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Акта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оказании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услуг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Договору,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инициативе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любой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подписывают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Акт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сверки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взаимных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расчетов.</w:t>
      </w:r>
    </w:p>
    <w:p w14:paraId="00000036" w14:textId="1B2697EC" w:rsidR="00E01A11" w:rsidRDefault="005A0FEE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0000037" w14:textId="475C6420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6.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ОТВЕТСТВЕННОСТЬ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</w:t>
      </w:r>
    </w:p>
    <w:p w14:paraId="00000039" w14:textId="4D3846E2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6.1.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невыполнение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ненадлежащее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выполнение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обязательств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несут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ответственность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соответствии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действующим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законодательством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Российской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Федерации.</w:t>
      </w:r>
    </w:p>
    <w:p w14:paraId="0000003A" w14:textId="167CD059" w:rsidR="00E01A11" w:rsidRDefault="005A0FEE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000003B" w14:textId="6736497B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ОБСТОЯТЕЛЬСТВА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НЕПРЕОДОЛИМОЙ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СИЛЫ</w:t>
      </w:r>
    </w:p>
    <w:p w14:paraId="0000003D" w14:textId="072789E4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7.1.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освобождаются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ответственности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частичное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полное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неисполнение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обязательств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Договору,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если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это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неисполнение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явилось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следствием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обстоятельств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непреодолимой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силы,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возникших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после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заключения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результате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событий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чрезвычайного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характера,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которые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могла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предвидеть,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предотвратить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разумными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мерами.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Достаточным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доказательством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наличия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действия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обстоятельств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непреодолимой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силы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будет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являться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документ,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выданный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уполномоченным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государственным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органом.</w:t>
      </w:r>
    </w:p>
    <w:p w14:paraId="0000003E" w14:textId="75D83248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7.2.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Сторона,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ссылающаяся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обстоятельства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непреодолимой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силы,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обязана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течение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(пяти)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календарных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дней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письменной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форме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информировать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другую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наступление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подобных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обстоятельств.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После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прекращения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действия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указанных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обстоятельств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обязана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течение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(пяти)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календарных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дней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сообщить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этом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другой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письменной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форме.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Если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обстоятельства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непреодолимой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силы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продолжают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действовать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более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(трех)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месяцев,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каждая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имеет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право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расторгнуть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Договор.</w:t>
      </w:r>
    </w:p>
    <w:p w14:paraId="0000003F" w14:textId="43339720" w:rsidR="00E01A11" w:rsidRDefault="005A0FEE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0000040" w14:textId="303C2DA3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8.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РАЗРЕШЕНИЕ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СПОРОВ</w:t>
      </w:r>
    </w:p>
    <w:p w14:paraId="00000041" w14:textId="311898AF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7.1.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Спор,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связанный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заключением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и/или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вытекающий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Договора,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числе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спор,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касающийся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и/или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нарушения,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и/или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прекращения,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и/или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недействительности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Договора,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может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быть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передан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разрешение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суд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после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принятия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Сторонами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мер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досудебному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урегулированию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спора.</w:t>
      </w:r>
    </w:p>
    <w:p w14:paraId="00000042" w14:textId="608F3EDC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отправитель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претензии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самостоятельно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определяет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способ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направления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претензии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личное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вручение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и/или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направление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претензии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посредством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почты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России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заказным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письмом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уведомлением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вручении.</w:t>
      </w:r>
    </w:p>
    <w:p w14:paraId="00000043" w14:textId="29626ACA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Досудебный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порядок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урегулированию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спора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(претензионный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порядок)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считается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соблюденным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наступлении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любого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нижеперечисленных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условий:</w:t>
      </w:r>
    </w:p>
    <w:p w14:paraId="00000044" w14:textId="5B6BDAFF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-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либо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истечении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(семи)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календарных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дней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даты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передачи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претензии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нарочным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непосредственно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исполнительному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уполномоченному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лицу,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указанному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10.2.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Договора,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получением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отметки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принятии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втором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экземпляре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претензии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её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копии;</w:t>
      </w:r>
    </w:p>
    <w:p w14:paraId="00000045" w14:textId="1EFF703E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либо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истечении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(семи)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календарных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дней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даты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получения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отправителем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претензии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соответствующего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почтового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уведомления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вручении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претензии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другой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получателю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претензии;</w:t>
      </w:r>
    </w:p>
    <w:p w14:paraId="00000046" w14:textId="3701EDDD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либо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истечении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(семи)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календарных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дней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даты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получения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отправителем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претензии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возврата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письма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(конверта),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направленного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последнему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известному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адресу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получателя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претензии;</w:t>
      </w:r>
    </w:p>
    <w:p w14:paraId="00000047" w14:textId="3CE5AC3D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либо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истечении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30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(тридцати)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календарных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дней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дня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направления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претензии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посредством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почты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России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получателю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претензии.</w:t>
      </w:r>
    </w:p>
    <w:p w14:paraId="00000048" w14:textId="43E2BA18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также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вправе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руководствоваться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информацией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вручении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получателю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письма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(претензии),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размещенной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официальном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сайте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почты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России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hyperlink r:id="rId7">
        <w:r>
          <w:rPr>
            <w:rFonts w:ascii="Times New Roman" w:eastAsia="Times New Roman" w:hAnsi="Times New Roman" w:cs="Times New Roman"/>
            <w:color w:val="45818E"/>
            <w:sz w:val="24"/>
            <w:szCs w:val="24"/>
            <w:u w:val="single"/>
          </w:rPr>
          <w:t>http://www.russianpost.ru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которую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признают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достаточной,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достоверной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имеющей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доказательственное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значение.</w:t>
      </w:r>
    </w:p>
    <w:p w14:paraId="00000049" w14:textId="17F7B39E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7.2.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разрешении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спора,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связанного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заключением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и/или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вытекающего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Договора,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числе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спора,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касающегося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и/или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нарушения,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и/или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прекращения,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и/или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недействительности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досудебном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порядке,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спор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передается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Арбитражный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суд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города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Москвы.</w:t>
      </w:r>
    </w:p>
    <w:p w14:paraId="0000004A" w14:textId="3B7604FB" w:rsidR="00E01A11" w:rsidRDefault="005A0FEE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000004B" w14:textId="0D8EE560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9.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ИЗМЕНЕНИЕ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РАСТОРЖЕНИЕ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ДОГОВОРА</w:t>
      </w:r>
    </w:p>
    <w:p w14:paraId="0000004C" w14:textId="1915D107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9.1.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может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быть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расторгнут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основаниям,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предусмотренным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законодательством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Российской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Федерации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Договором.</w:t>
      </w:r>
    </w:p>
    <w:p w14:paraId="0000004D" w14:textId="37D1D548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9.2.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вправе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одностороннем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порядке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отказаться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Договора.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Для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этого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он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должен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направить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письменное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уведомление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намерении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расторгнуть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Исполнителю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позднее,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чем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30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(тридцать)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календарных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дней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предполагаемой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даты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расторжения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Договора.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этом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расходы,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связанные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фактически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оказанными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Исполнителем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Услугами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даты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расторжения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Договора,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лежат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Заказчике,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который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обязан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оплатить,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если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они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ранее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были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оплачены.</w:t>
      </w:r>
    </w:p>
    <w:p w14:paraId="0000004E" w14:textId="1A64A5B2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9.3.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Исполнитель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вправе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одностороннем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порядке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отказаться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Договора.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Для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этого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он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должен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направить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письменное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уведомление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намерении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расторгнуть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указанием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даты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расторжения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Договора.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считается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расторгнутым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даты,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указанной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уведомлении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расторжении.</w:t>
      </w:r>
    </w:p>
    <w:p w14:paraId="0000004F" w14:textId="748D4BB1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9.4.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случае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расторжения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одностороннего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отказа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производят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взаиморасчеты.</w:t>
      </w:r>
    </w:p>
    <w:p w14:paraId="00000050" w14:textId="03157B98" w:rsidR="00E01A11" w:rsidRDefault="005A0FEE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0000051" w14:textId="1EBA3718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ИНЫЕ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УСЛОВИЯ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ДОГОВОРА</w:t>
      </w:r>
    </w:p>
    <w:p w14:paraId="00000052" w14:textId="67C0DE2E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10.1.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вступает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силу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момента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оплаты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счета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заказчиком.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Сторонами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действует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до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полного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сторонам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своих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обязательств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0000056" w14:textId="61A46408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10.</w:t>
      </w:r>
      <w:r w:rsidR="003D2254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обязуются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извещать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друг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друга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случае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изменений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юридического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статуса,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места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нахождения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иных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своих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реквизитов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письменной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форме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течение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(трех)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рабочих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дней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момента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изменения,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путем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направления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соответствующего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уведомления.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Все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действия,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совершённые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Сторонами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старым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адресам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счетам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поступления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уведомлений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изменении,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считаются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совершенными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надлежащим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засчитываются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счёт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соответствующих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обязательств.</w:t>
      </w:r>
    </w:p>
    <w:p w14:paraId="00000057" w14:textId="2B8D330E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10.4.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Любые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изменения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дополнения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действительны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условии,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если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они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совершены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письменной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форме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подписаны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надлежаще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уполномоченными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представителями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Сторон.</w:t>
      </w:r>
    </w:p>
    <w:p w14:paraId="00000058" w14:textId="2575C61E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10.5.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Любые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документы,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оформленные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Сторонами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исполнение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Договора,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также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документы,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изменяющие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дополняющие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должны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направляться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письменной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форме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(почтой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России,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телеграммой,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нарочно).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Датой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направления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соответствующего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документа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считается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штемпеля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почтового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ведомства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места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отправления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принятии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письма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телеграммы,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либо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личного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вручения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соответствующего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документа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Стороне.</w:t>
      </w:r>
    </w:p>
    <w:p w14:paraId="00000059" w14:textId="289C416C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При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этом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датой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получения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соответствующего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документа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является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штемпеля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почтового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ведомства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места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назначения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(адреса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содержащиеся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ЕГРЮЛ)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вручении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письма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телеграммы,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либо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уведомления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вручении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почтового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отправления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графе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«вручено»,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либо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отметки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почтового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ведомства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места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назначения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«о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выбытии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адресата»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«об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отсутствии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адресата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указанному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адресу»,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«об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истечении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срока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хранения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почтового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отправления»,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либо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личного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вручения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соответствующего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документа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Стороне.</w:t>
      </w:r>
    </w:p>
    <w:p w14:paraId="0000005A" w14:textId="115367E3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признают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достаточной,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достоверной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имеющую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доказательственное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значение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информацию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отслеживании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почтового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отправления,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размещенную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сайте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Почты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России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hyperlink r:id="rId8">
        <w:r>
          <w:rPr>
            <w:rFonts w:ascii="Times New Roman" w:eastAsia="Times New Roman" w:hAnsi="Times New Roman" w:cs="Times New Roman"/>
            <w:color w:val="45818E"/>
            <w:sz w:val="24"/>
            <w:szCs w:val="24"/>
            <w:u w:val="single"/>
          </w:rPr>
          <w:t>http://www.russianpost.ru/)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000005B" w14:textId="20699102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признают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достаточной,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достоверной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имеющей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доказательственное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значение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информацию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изменениях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сведений,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содержащихся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учредительных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документах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Едином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государственном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реестре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юридических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лиц,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размещенную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сайте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Федеральной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налоговой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службы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Российской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Федерации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hyperlink r:id="rId9">
        <w:r>
          <w:rPr>
            <w:rFonts w:ascii="Times New Roman" w:eastAsia="Times New Roman" w:hAnsi="Times New Roman" w:cs="Times New Roman"/>
            <w:color w:val="45818E"/>
            <w:sz w:val="24"/>
            <w:szCs w:val="24"/>
            <w:u w:val="single"/>
          </w:rPr>
          <w:t>http://www.nalog.ru/)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вправе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получать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указанную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настоящем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пункте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информацию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иным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способом,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запрещенным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законодательством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Российской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Федерации.</w:t>
      </w:r>
    </w:p>
    <w:p w14:paraId="0000005C" w14:textId="78CD5C76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Порядок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направления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документов,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предусмотренный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настоящим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пунктом,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распространяется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претензии,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оформленные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целью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досудебного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урегулирования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спора.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руководствуются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отдельным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порядком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направления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претензий,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предусмотренным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разделом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Договора.</w:t>
      </w:r>
    </w:p>
    <w:p w14:paraId="45E1DCA4" w14:textId="62ED2ACF" w:rsidR="005A0FEE" w:rsidRPr="005A0FEE" w:rsidRDefault="005A0FEE" w:rsidP="005A0F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10.6.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Стороны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договорились,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исполнении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обязательств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могут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обмениваться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электронными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документами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применением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одной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следующих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электронного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документооборота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(ЭДО):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"ДиаДок",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Сбис,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1С-документооброт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(КалугаАстрал)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любым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другим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возможности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подключения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роуминга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взаимодействия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вышеперечисленными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системами.</w:t>
      </w:r>
    </w:p>
    <w:p w14:paraId="38609A90" w14:textId="548B3D66" w:rsidR="005A0FEE" w:rsidRDefault="005A0FEE" w:rsidP="005A0F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10.7.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Каждая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любой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момент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взаимодействия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предложить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простой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изменить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обмена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документами: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очно,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курьерской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службой,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Почтой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России,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оператором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ЭДО.</w:t>
      </w:r>
    </w:p>
    <w:p w14:paraId="0000005D" w14:textId="151F0C88" w:rsidR="00E01A11" w:rsidRDefault="00DB6A4A" w:rsidP="003D2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всем,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что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предусмотрено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Договором,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Стороны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руководствуются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нормами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действующего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законодательства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Российской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Федерации.</w:t>
      </w:r>
    </w:p>
    <w:p w14:paraId="235DCB12" w14:textId="3033AB8C" w:rsidR="00F92020" w:rsidRDefault="00DB6A4A" w:rsidP="005A0F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Если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одно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условий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положений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утратит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юридическую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силу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будет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признано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недействительным,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другие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условия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положения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Договора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продолжают</w:t>
      </w:r>
      <w:r w:rsidR="005A0F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действовать.</w:t>
      </w:r>
    </w:p>
    <w:p w14:paraId="4948DE7E" w14:textId="77777777" w:rsidR="00F92020" w:rsidRDefault="00F92020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 w:type="page"/>
      </w:r>
    </w:p>
    <w:p w14:paraId="5E2A2CB6" w14:textId="0D0F1AFB" w:rsidR="00F92020" w:rsidRDefault="00F92020" w:rsidP="00387D17">
      <w:pPr>
        <w:spacing w:after="0"/>
        <w:ind w:right="-1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№</w:t>
      </w:r>
      <w:r>
        <w:rPr>
          <w:rFonts w:ascii="Times New Roman" w:hAnsi="Times New Roman"/>
          <w:b/>
        </w:rPr>
        <w:t xml:space="preserve"> 1. Форма Заявки</w:t>
      </w:r>
      <w:r w:rsidR="00387D1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к Договору </w:t>
      </w:r>
      <w:r>
        <w:rPr>
          <w:rFonts w:ascii="Times New Roman" w:hAnsi="Times New Roman"/>
          <w:b/>
        </w:rPr>
        <w:t>– Публичной Оферте</w:t>
      </w:r>
    </w:p>
    <w:p w14:paraId="13023369" w14:textId="34EF2DA2" w:rsidR="00F92020" w:rsidRDefault="00F92020" w:rsidP="00387D17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56B7084D" w14:textId="77777777" w:rsidR="00F92020" w:rsidRPr="00387D17" w:rsidRDefault="00F92020" w:rsidP="00387D17">
      <w:pPr>
        <w:tabs>
          <w:tab w:val="left" w:pos="2175"/>
        </w:tabs>
        <w:spacing w:after="0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387D17">
        <w:rPr>
          <w:rFonts w:ascii="Times New Roman" w:hAnsi="Times New Roman"/>
          <w:b/>
          <w:sz w:val="20"/>
          <w:szCs w:val="20"/>
          <w:lang w:eastAsia="en-US"/>
        </w:rPr>
        <w:t>ЗАЯВКА НА ПРОВЕДЕНИЕ ЛАБОРАТОРНЫХ ИСПЫТАНИЙ</w:t>
      </w:r>
    </w:p>
    <w:p w14:paraId="41908E23" w14:textId="77777777" w:rsidR="00F92020" w:rsidRPr="00387D17" w:rsidRDefault="00F92020" w:rsidP="00387D17">
      <w:pPr>
        <w:tabs>
          <w:tab w:val="left" w:pos="2175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1A9B944" w14:textId="77777777" w:rsidR="00F92020" w:rsidRPr="00387D17" w:rsidRDefault="00F92020" w:rsidP="00387D1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387D17">
        <w:rPr>
          <w:rFonts w:ascii="Times New Roman" w:hAnsi="Times New Roman"/>
          <w:b/>
          <w:sz w:val="20"/>
          <w:szCs w:val="20"/>
        </w:rPr>
        <w:t>ЗАКАЗЧИК ИСПЫТАНИЙ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997"/>
        <w:gridCol w:w="6685"/>
      </w:tblGrid>
      <w:tr w:rsidR="00F92020" w:rsidRPr="00387D17" w14:paraId="2D87615F" w14:textId="77777777" w:rsidTr="00387D17">
        <w:trPr>
          <w:trHeight w:val="317"/>
          <w:tblCellSpacing w:w="20" w:type="dxa"/>
        </w:trPr>
        <w:tc>
          <w:tcPr>
            <w:tcW w:w="1517" w:type="pct"/>
            <w:shd w:val="clear" w:color="auto" w:fill="auto"/>
            <w:vAlign w:val="center"/>
          </w:tcPr>
          <w:p w14:paraId="47355CC4" w14:textId="77777777" w:rsidR="00F92020" w:rsidRPr="00387D17" w:rsidRDefault="00F92020" w:rsidP="00387D1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организации, ИНН</w:t>
            </w:r>
          </w:p>
        </w:tc>
        <w:tc>
          <w:tcPr>
            <w:tcW w:w="3421" w:type="pct"/>
            <w:shd w:val="clear" w:color="auto" w:fill="auto"/>
            <w:vAlign w:val="center"/>
          </w:tcPr>
          <w:p w14:paraId="653496BB" w14:textId="77777777" w:rsidR="00F92020" w:rsidRPr="00387D17" w:rsidRDefault="00F92020" w:rsidP="00387D1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DAF4065" w14:textId="77777777" w:rsidR="00F92020" w:rsidRPr="00387D17" w:rsidRDefault="00F92020" w:rsidP="00387D1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2" w:firstLine="22"/>
        <w:jc w:val="center"/>
        <w:rPr>
          <w:rFonts w:ascii="Times New Roman" w:hAnsi="Times New Roman"/>
          <w:b/>
          <w:sz w:val="20"/>
          <w:szCs w:val="20"/>
        </w:rPr>
      </w:pPr>
      <w:r w:rsidRPr="00387D17">
        <w:rPr>
          <w:rFonts w:ascii="Times New Roman" w:hAnsi="Times New Roman"/>
          <w:b/>
          <w:sz w:val="20"/>
          <w:szCs w:val="20"/>
        </w:rPr>
        <w:t>КОНТАКТНОЕ ЛИЦО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997"/>
        <w:gridCol w:w="6685"/>
      </w:tblGrid>
      <w:tr w:rsidR="00F92020" w:rsidRPr="00387D17" w14:paraId="2C7AE90F" w14:textId="77777777" w:rsidTr="00387D17">
        <w:trPr>
          <w:tblCellSpacing w:w="20" w:type="dxa"/>
        </w:trPr>
        <w:tc>
          <w:tcPr>
            <w:tcW w:w="1517" w:type="pct"/>
            <w:shd w:val="clear" w:color="auto" w:fill="auto"/>
            <w:vAlign w:val="center"/>
          </w:tcPr>
          <w:p w14:paraId="07463617" w14:textId="77777777" w:rsidR="00F92020" w:rsidRPr="00387D17" w:rsidRDefault="00F92020" w:rsidP="00387D1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421" w:type="pct"/>
            <w:shd w:val="clear" w:color="auto" w:fill="auto"/>
          </w:tcPr>
          <w:p w14:paraId="2B95CA34" w14:textId="77777777" w:rsidR="00F92020" w:rsidRPr="00387D17" w:rsidRDefault="00F92020" w:rsidP="00387D1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020" w:rsidRPr="00387D17" w14:paraId="07EB64F7" w14:textId="77777777" w:rsidTr="00387D17">
        <w:trPr>
          <w:tblCellSpacing w:w="20" w:type="dxa"/>
        </w:trPr>
        <w:tc>
          <w:tcPr>
            <w:tcW w:w="1517" w:type="pct"/>
            <w:shd w:val="clear" w:color="auto" w:fill="auto"/>
            <w:vAlign w:val="center"/>
          </w:tcPr>
          <w:p w14:paraId="024BB8D3" w14:textId="77777777" w:rsidR="00F92020" w:rsidRPr="00387D17" w:rsidRDefault="00F92020" w:rsidP="00387D1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Телефон / e-mail</w:t>
            </w:r>
          </w:p>
        </w:tc>
        <w:tc>
          <w:tcPr>
            <w:tcW w:w="3421" w:type="pct"/>
            <w:shd w:val="clear" w:color="auto" w:fill="auto"/>
          </w:tcPr>
          <w:p w14:paraId="2DFE17FF" w14:textId="77777777" w:rsidR="00F92020" w:rsidRPr="00387D17" w:rsidRDefault="00F92020" w:rsidP="00387D1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8CFB3E" w14:textId="77777777" w:rsidR="00F92020" w:rsidRPr="00387D17" w:rsidRDefault="00F92020" w:rsidP="00387D17">
      <w:pPr>
        <w:numPr>
          <w:ilvl w:val="0"/>
          <w:numId w:val="2"/>
        </w:numPr>
        <w:spacing w:after="0" w:line="240" w:lineRule="auto"/>
        <w:ind w:left="66"/>
        <w:jc w:val="center"/>
        <w:rPr>
          <w:rFonts w:ascii="Times New Roman" w:hAnsi="Times New Roman"/>
          <w:bCs/>
          <w:iCs/>
          <w:sz w:val="20"/>
          <w:szCs w:val="20"/>
        </w:rPr>
      </w:pPr>
      <w:r w:rsidRPr="00387D17">
        <w:rPr>
          <w:rFonts w:ascii="Times New Roman" w:hAnsi="Times New Roman"/>
          <w:b/>
          <w:sz w:val="20"/>
          <w:szCs w:val="20"/>
        </w:rPr>
        <w:t>ИНФОРМАЦИЯ ОБ ОБРАЗЦЕ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980"/>
        <w:gridCol w:w="3267"/>
        <w:gridCol w:w="3435"/>
      </w:tblGrid>
      <w:tr w:rsidR="00F92020" w:rsidRPr="00387D17" w14:paraId="6292E021" w14:textId="77777777" w:rsidTr="00465FF9">
        <w:trPr>
          <w:trHeight w:val="174"/>
          <w:tblCellSpacing w:w="20" w:type="dxa"/>
        </w:trPr>
        <w:tc>
          <w:tcPr>
            <w:tcW w:w="1516" w:type="pct"/>
            <w:shd w:val="clear" w:color="auto" w:fill="auto"/>
            <w:vAlign w:val="center"/>
          </w:tcPr>
          <w:p w14:paraId="778F7D78" w14:textId="77777777" w:rsidR="00F92020" w:rsidRPr="00387D17" w:rsidRDefault="00F92020" w:rsidP="00387D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pct"/>
            <w:vAlign w:val="center"/>
          </w:tcPr>
          <w:p w14:paraId="56CD5FDA" w14:textId="77777777" w:rsidR="00F92020" w:rsidRPr="00387D17" w:rsidRDefault="00F92020" w:rsidP="00387D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D17">
              <w:rPr>
                <w:rFonts w:ascii="Times New Roman" w:hAnsi="Times New Roman"/>
                <w:sz w:val="20"/>
                <w:szCs w:val="20"/>
              </w:rPr>
              <w:t xml:space="preserve">Согласно маркировке </w:t>
            </w:r>
          </w:p>
        </w:tc>
        <w:tc>
          <w:tcPr>
            <w:tcW w:w="1732" w:type="pct"/>
            <w:vAlign w:val="center"/>
          </w:tcPr>
          <w:p w14:paraId="1FE30065" w14:textId="77777777" w:rsidR="00F92020" w:rsidRPr="00387D17" w:rsidRDefault="00F92020" w:rsidP="00387D17">
            <w:pPr>
              <w:spacing w:after="0"/>
              <w:ind w:lef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D17">
              <w:rPr>
                <w:rFonts w:ascii="Times New Roman" w:hAnsi="Times New Roman"/>
                <w:sz w:val="20"/>
                <w:szCs w:val="20"/>
              </w:rPr>
              <w:t>Согласно документу о качестве</w:t>
            </w:r>
          </w:p>
        </w:tc>
      </w:tr>
      <w:tr w:rsidR="00F92020" w:rsidRPr="00387D17" w14:paraId="02D058E2" w14:textId="77777777" w:rsidTr="00465FF9">
        <w:trPr>
          <w:trHeight w:val="209"/>
          <w:tblCellSpacing w:w="20" w:type="dxa"/>
        </w:trPr>
        <w:tc>
          <w:tcPr>
            <w:tcW w:w="1516" w:type="pct"/>
            <w:shd w:val="clear" w:color="auto" w:fill="auto"/>
            <w:vAlign w:val="center"/>
          </w:tcPr>
          <w:p w14:paraId="37AD5018" w14:textId="77777777" w:rsidR="00F92020" w:rsidRPr="00387D17" w:rsidRDefault="00F92020" w:rsidP="00387D17">
            <w:pPr>
              <w:spacing w:after="0"/>
              <w:ind w:left="-26"/>
              <w:rPr>
                <w:rFonts w:ascii="Times New Roman" w:hAnsi="Times New Roman"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Производитель</w:t>
            </w:r>
          </w:p>
        </w:tc>
        <w:tc>
          <w:tcPr>
            <w:tcW w:w="1675" w:type="pct"/>
            <w:vAlign w:val="center"/>
          </w:tcPr>
          <w:p w14:paraId="0EE67719" w14:textId="77777777" w:rsidR="00F92020" w:rsidRPr="00387D17" w:rsidRDefault="00F92020" w:rsidP="00387D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2" w:type="pct"/>
            <w:vAlign w:val="center"/>
          </w:tcPr>
          <w:p w14:paraId="3A73AD69" w14:textId="77777777" w:rsidR="00F92020" w:rsidRPr="00387D17" w:rsidRDefault="00F92020" w:rsidP="00387D17">
            <w:pPr>
              <w:spacing w:after="0"/>
              <w:ind w:lef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020" w:rsidRPr="00387D17" w14:paraId="45B5A756" w14:textId="77777777" w:rsidTr="00465FF9">
        <w:trPr>
          <w:trHeight w:val="304"/>
          <w:tblCellSpacing w:w="20" w:type="dxa"/>
        </w:trPr>
        <w:tc>
          <w:tcPr>
            <w:tcW w:w="1516" w:type="pct"/>
            <w:shd w:val="clear" w:color="auto" w:fill="auto"/>
            <w:vAlign w:val="center"/>
          </w:tcPr>
          <w:p w14:paraId="144BB6FE" w14:textId="49A196A8" w:rsidR="00F92020" w:rsidRPr="00387D17" w:rsidRDefault="00F92020" w:rsidP="00387D17">
            <w:pPr>
              <w:spacing w:after="0"/>
              <w:ind w:left="-2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Условное обозначение образца, включая торговую марку</w:t>
            </w:r>
            <w:r w:rsidR="00387D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(при наличии)</w:t>
            </w:r>
          </w:p>
        </w:tc>
        <w:tc>
          <w:tcPr>
            <w:tcW w:w="1675" w:type="pct"/>
            <w:vAlign w:val="center"/>
          </w:tcPr>
          <w:p w14:paraId="37B7F1B6" w14:textId="77777777" w:rsidR="00F92020" w:rsidRPr="00387D17" w:rsidRDefault="00F92020" w:rsidP="00387D17">
            <w:pPr>
              <w:spacing w:after="0"/>
              <w:ind w:left="-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2" w:type="pct"/>
            <w:vAlign w:val="center"/>
          </w:tcPr>
          <w:p w14:paraId="26C098E1" w14:textId="77777777" w:rsidR="00F92020" w:rsidRPr="00387D17" w:rsidRDefault="00F92020" w:rsidP="00387D17">
            <w:pPr>
              <w:spacing w:after="0"/>
              <w:ind w:lef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020" w:rsidRPr="00387D17" w14:paraId="3537F4E5" w14:textId="77777777" w:rsidTr="00465FF9">
        <w:trPr>
          <w:tblCellSpacing w:w="20" w:type="dxa"/>
        </w:trPr>
        <w:tc>
          <w:tcPr>
            <w:tcW w:w="1516" w:type="pct"/>
            <w:shd w:val="clear" w:color="auto" w:fill="auto"/>
            <w:vAlign w:val="center"/>
          </w:tcPr>
          <w:p w14:paraId="64E15F8A" w14:textId="77777777" w:rsidR="00F92020" w:rsidRPr="00387D17" w:rsidRDefault="00F92020" w:rsidP="00387D17">
            <w:pPr>
              <w:spacing w:after="0"/>
              <w:ind w:left="-26"/>
              <w:rPr>
                <w:rFonts w:ascii="Times New Roman" w:hAnsi="Times New Roman"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Номер партии / дата изготовления</w:t>
            </w:r>
          </w:p>
        </w:tc>
        <w:tc>
          <w:tcPr>
            <w:tcW w:w="1675" w:type="pct"/>
            <w:vAlign w:val="center"/>
          </w:tcPr>
          <w:p w14:paraId="351B0E0B" w14:textId="77777777" w:rsidR="00F92020" w:rsidRPr="00387D17" w:rsidRDefault="00F92020" w:rsidP="00387D17">
            <w:pPr>
              <w:spacing w:after="0"/>
              <w:ind w:lef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2" w:type="pct"/>
            <w:vAlign w:val="center"/>
          </w:tcPr>
          <w:p w14:paraId="69F69ED3" w14:textId="77777777" w:rsidR="00F92020" w:rsidRPr="00387D17" w:rsidRDefault="00F92020" w:rsidP="00387D17">
            <w:pPr>
              <w:spacing w:after="0"/>
              <w:ind w:lef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020" w:rsidRPr="00387D17" w14:paraId="2A1130E5" w14:textId="77777777" w:rsidTr="00465FF9">
        <w:trPr>
          <w:tblCellSpacing w:w="20" w:type="dxa"/>
        </w:trPr>
        <w:tc>
          <w:tcPr>
            <w:tcW w:w="1516" w:type="pct"/>
            <w:shd w:val="clear" w:color="auto" w:fill="auto"/>
            <w:vAlign w:val="center"/>
          </w:tcPr>
          <w:p w14:paraId="3EBAD2C7" w14:textId="77777777" w:rsidR="00F92020" w:rsidRPr="00387D17" w:rsidRDefault="00F92020" w:rsidP="00387D17">
            <w:pPr>
              <w:spacing w:after="0"/>
              <w:ind w:left="-26"/>
              <w:rPr>
                <w:rFonts w:ascii="Times New Roman" w:hAnsi="Times New Roman"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НД, в соответствии с которым изготовлен образец</w:t>
            </w:r>
          </w:p>
        </w:tc>
        <w:tc>
          <w:tcPr>
            <w:tcW w:w="1675" w:type="pct"/>
            <w:vAlign w:val="center"/>
          </w:tcPr>
          <w:p w14:paraId="2034F11D" w14:textId="77777777" w:rsidR="00F92020" w:rsidRPr="00387D17" w:rsidRDefault="00F92020" w:rsidP="00387D17">
            <w:pPr>
              <w:spacing w:after="0"/>
              <w:ind w:lef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2" w:type="pct"/>
            <w:vAlign w:val="center"/>
          </w:tcPr>
          <w:p w14:paraId="2A12B0B1" w14:textId="77777777" w:rsidR="00F92020" w:rsidRPr="00387D17" w:rsidRDefault="00F92020" w:rsidP="00387D17">
            <w:pPr>
              <w:spacing w:after="0"/>
              <w:ind w:lef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020" w:rsidRPr="00387D17" w14:paraId="0D7D47C1" w14:textId="77777777" w:rsidTr="00465FF9">
        <w:trPr>
          <w:trHeight w:val="45"/>
          <w:tblCellSpacing w:w="20" w:type="dxa"/>
        </w:trPr>
        <w:tc>
          <w:tcPr>
            <w:tcW w:w="1516" w:type="pct"/>
            <w:shd w:val="clear" w:color="auto" w:fill="auto"/>
            <w:vAlign w:val="center"/>
          </w:tcPr>
          <w:p w14:paraId="708D9CAD" w14:textId="77777777" w:rsidR="00F92020" w:rsidRPr="00387D17" w:rsidRDefault="00F92020" w:rsidP="00387D17">
            <w:pPr>
              <w:spacing w:after="0"/>
              <w:ind w:left="-26"/>
              <w:rPr>
                <w:rFonts w:ascii="Times New Roman" w:hAnsi="Times New Roman"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НД, на соответствие которому проводятся испытания образца</w:t>
            </w:r>
          </w:p>
        </w:tc>
        <w:tc>
          <w:tcPr>
            <w:tcW w:w="3426" w:type="pct"/>
            <w:gridSpan w:val="2"/>
            <w:vAlign w:val="center"/>
          </w:tcPr>
          <w:p w14:paraId="03C090BD" w14:textId="77777777" w:rsidR="00F92020" w:rsidRPr="00387D17" w:rsidRDefault="00F92020" w:rsidP="00387D17">
            <w:pPr>
              <w:spacing w:after="0"/>
              <w:ind w:lef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020" w:rsidRPr="00387D17" w14:paraId="2E881B5B" w14:textId="77777777" w:rsidTr="00465FF9">
        <w:trPr>
          <w:tblCellSpacing w:w="20" w:type="dxa"/>
        </w:trPr>
        <w:tc>
          <w:tcPr>
            <w:tcW w:w="1516" w:type="pct"/>
            <w:shd w:val="clear" w:color="auto" w:fill="auto"/>
            <w:vAlign w:val="center"/>
          </w:tcPr>
          <w:p w14:paraId="1A366738" w14:textId="77777777" w:rsidR="00F92020" w:rsidRPr="00387D17" w:rsidRDefault="00F92020" w:rsidP="00387D17">
            <w:pPr>
              <w:spacing w:after="0"/>
              <w:ind w:left="-26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 xml:space="preserve">Номер и дата акта отбора </w:t>
            </w:r>
          </w:p>
        </w:tc>
        <w:tc>
          <w:tcPr>
            <w:tcW w:w="3426" w:type="pct"/>
            <w:gridSpan w:val="2"/>
            <w:shd w:val="clear" w:color="auto" w:fill="auto"/>
            <w:vAlign w:val="center"/>
          </w:tcPr>
          <w:p w14:paraId="34229A59" w14:textId="77777777" w:rsidR="00F92020" w:rsidRPr="00387D17" w:rsidRDefault="00F92020" w:rsidP="00387D17">
            <w:pPr>
              <w:spacing w:after="0"/>
              <w:ind w:left="-42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020" w:rsidRPr="00387D17" w14:paraId="038B5A0C" w14:textId="77777777" w:rsidTr="00465FF9">
        <w:trPr>
          <w:tblCellSpacing w:w="20" w:type="dxa"/>
        </w:trPr>
        <w:tc>
          <w:tcPr>
            <w:tcW w:w="1516" w:type="pct"/>
            <w:shd w:val="clear" w:color="auto" w:fill="auto"/>
            <w:vAlign w:val="center"/>
          </w:tcPr>
          <w:p w14:paraId="07BE3960" w14:textId="23BE4255" w:rsidR="00F92020" w:rsidRPr="00387D17" w:rsidRDefault="00F92020" w:rsidP="00387D17">
            <w:pPr>
              <w:spacing w:after="0"/>
              <w:ind w:left="-26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Идентификационные данные,</w:t>
            </w:r>
            <w:r w:rsidR="00387D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номер пломбы (при наличии)</w:t>
            </w:r>
          </w:p>
        </w:tc>
        <w:tc>
          <w:tcPr>
            <w:tcW w:w="3426" w:type="pct"/>
            <w:gridSpan w:val="2"/>
            <w:shd w:val="clear" w:color="auto" w:fill="auto"/>
            <w:vAlign w:val="center"/>
          </w:tcPr>
          <w:p w14:paraId="27ABC402" w14:textId="77777777" w:rsidR="00F92020" w:rsidRPr="00387D17" w:rsidRDefault="00F92020" w:rsidP="00387D17">
            <w:pPr>
              <w:spacing w:after="0"/>
              <w:ind w:left="-42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140A1F42" w14:textId="77777777" w:rsidR="00F92020" w:rsidRPr="00387D17" w:rsidRDefault="00F92020" w:rsidP="00387D17">
      <w:pPr>
        <w:numPr>
          <w:ilvl w:val="0"/>
          <w:numId w:val="2"/>
        </w:numPr>
        <w:tabs>
          <w:tab w:val="left" w:pos="31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387D17">
        <w:rPr>
          <w:rFonts w:ascii="Times New Roman" w:hAnsi="Times New Roman"/>
          <w:b/>
          <w:sz w:val="20"/>
          <w:szCs w:val="20"/>
        </w:rPr>
        <w:t>НАЛИЧИЕ СОПРОВОДИТЕЛЬНОЙ ДОКУМЕНТАЦИИ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3014"/>
        <w:gridCol w:w="1577"/>
        <w:gridCol w:w="3673"/>
        <w:gridCol w:w="1418"/>
      </w:tblGrid>
      <w:tr w:rsidR="00F92020" w:rsidRPr="00387D17" w14:paraId="79C86F52" w14:textId="77777777" w:rsidTr="00465FF9">
        <w:trPr>
          <w:trHeight w:val="198"/>
          <w:tblCellSpacing w:w="20" w:type="dxa"/>
        </w:trPr>
        <w:tc>
          <w:tcPr>
            <w:tcW w:w="1528" w:type="pct"/>
            <w:shd w:val="clear" w:color="auto" w:fill="auto"/>
            <w:vAlign w:val="center"/>
          </w:tcPr>
          <w:p w14:paraId="635DD07C" w14:textId="77777777" w:rsidR="00F92020" w:rsidRPr="00387D17" w:rsidRDefault="00F92020" w:rsidP="00387D17">
            <w:pPr>
              <w:spacing w:after="0"/>
              <w:ind w:left="-26"/>
              <w:rPr>
                <w:rFonts w:ascii="Times New Roman" w:hAnsi="Times New Roman"/>
                <w:b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Сертификат соответствия</w:t>
            </w:r>
          </w:p>
        </w:tc>
        <w:tc>
          <w:tcPr>
            <w:tcW w:w="795" w:type="pct"/>
            <w:vAlign w:val="center"/>
          </w:tcPr>
          <w:p w14:paraId="21141704" w14:textId="77777777" w:rsidR="00F92020" w:rsidRPr="00387D17" w:rsidRDefault="00F92020" w:rsidP="00387D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D17">
              <w:rPr>
                <w:rFonts w:ascii="Times New Roman" w:hAnsi="Times New Roman"/>
                <w:sz w:val="20"/>
                <w:szCs w:val="20"/>
              </w:rPr>
              <w:t>есть / нет</w:t>
            </w:r>
          </w:p>
        </w:tc>
        <w:tc>
          <w:tcPr>
            <w:tcW w:w="1879" w:type="pct"/>
            <w:vAlign w:val="center"/>
          </w:tcPr>
          <w:p w14:paraId="1AC3B27F" w14:textId="77777777" w:rsidR="00F92020" w:rsidRPr="00387D17" w:rsidRDefault="00F92020" w:rsidP="00387D17">
            <w:pPr>
              <w:spacing w:after="0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Договор поставки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0A374E5" w14:textId="77777777" w:rsidR="00F92020" w:rsidRPr="00387D17" w:rsidRDefault="00F92020" w:rsidP="00387D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D17">
              <w:rPr>
                <w:rFonts w:ascii="Times New Roman" w:hAnsi="Times New Roman"/>
                <w:sz w:val="20"/>
                <w:szCs w:val="20"/>
              </w:rPr>
              <w:t>есть / нет</w:t>
            </w:r>
          </w:p>
        </w:tc>
      </w:tr>
      <w:tr w:rsidR="00F92020" w:rsidRPr="00387D17" w14:paraId="5CBDF44A" w14:textId="77777777" w:rsidTr="00465FF9">
        <w:trPr>
          <w:trHeight w:val="182"/>
          <w:tblCellSpacing w:w="20" w:type="dxa"/>
        </w:trPr>
        <w:tc>
          <w:tcPr>
            <w:tcW w:w="1528" w:type="pct"/>
            <w:shd w:val="clear" w:color="auto" w:fill="auto"/>
            <w:vAlign w:val="center"/>
          </w:tcPr>
          <w:p w14:paraId="19639FD7" w14:textId="77777777" w:rsidR="00F92020" w:rsidRPr="00387D17" w:rsidRDefault="00F92020" w:rsidP="00387D17">
            <w:pPr>
              <w:spacing w:after="0"/>
              <w:ind w:left="-26"/>
              <w:rPr>
                <w:rFonts w:ascii="Times New Roman" w:hAnsi="Times New Roman"/>
                <w:b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Паспорт качества</w:t>
            </w:r>
          </w:p>
        </w:tc>
        <w:tc>
          <w:tcPr>
            <w:tcW w:w="795" w:type="pct"/>
            <w:vAlign w:val="center"/>
          </w:tcPr>
          <w:p w14:paraId="1DF7C91C" w14:textId="77777777" w:rsidR="00F92020" w:rsidRPr="00387D17" w:rsidRDefault="00F92020" w:rsidP="00387D1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7D17">
              <w:rPr>
                <w:rFonts w:ascii="Times New Roman" w:hAnsi="Times New Roman"/>
                <w:sz w:val="20"/>
                <w:szCs w:val="20"/>
              </w:rPr>
              <w:t>есть / нет</w:t>
            </w:r>
          </w:p>
        </w:tc>
        <w:tc>
          <w:tcPr>
            <w:tcW w:w="1879" w:type="pct"/>
            <w:vMerge w:val="restart"/>
            <w:vAlign w:val="center"/>
          </w:tcPr>
          <w:p w14:paraId="45EAEE05" w14:textId="3905144D" w:rsidR="00F92020" w:rsidRPr="00387D17" w:rsidRDefault="00F92020" w:rsidP="00387D17">
            <w:pPr>
              <w:spacing w:after="0"/>
              <w:ind w:left="-9"/>
              <w:rPr>
                <w:rFonts w:ascii="Times New Roman" w:hAnsi="Times New Roman"/>
                <w:bCs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Отгрузочные документы (</w:t>
            </w:r>
            <w:r w:rsidR="00387D17">
              <w:rPr>
                <w:rFonts w:ascii="Times New Roman" w:hAnsi="Times New Roman"/>
                <w:b/>
                <w:sz w:val="20"/>
                <w:szCs w:val="20"/>
              </w:rPr>
              <w:t>акт</w:t>
            </w: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, счет на оплату</w:t>
            </w:r>
            <w:r w:rsidR="00387D1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 xml:space="preserve"> счет-фактура, </w:t>
            </w:r>
            <w:r w:rsidR="00387D17">
              <w:rPr>
                <w:rFonts w:ascii="Times New Roman" w:hAnsi="Times New Roman"/>
                <w:b/>
                <w:sz w:val="20"/>
                <w:szCs w:val="20"/>
              </w:rPr>
              <w:t>накладные</w:t>
            </w: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14:paraId="60BA0E28" w14:textId="77777777" w:rsidR="00F92020" w:rsidRPr="00387D17" w:rsidRDefault="00F92020" w:rsidP="00387D1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7D17">
              <w:rPr>
                <w:rFonts w:ascii="Times New Roman" w:hAnsi="Times New Roman"/>
                <w:sz w:val="20"/>
                <w:szCs w:val="20"/>
              </w:rPr>
              <w:t>есть / нет</w:t>
            </w:r>
          </w:p>
        </w:tc>
      </w:tr>
      <w:tr w:rsidR="00F92020" w:rsidRPr="00387D17" w14:paraId="2F600CB7" w14:textId="77777777" w:rsidTr="00465FF9">
        <w:tblPrEx>
          <w:tblLook w:val="04A0" w:firstRow="1" w:lastRow="0" w:firstColumn="1" w:lastColumn="0" w:noHBand="0" w:noVBand="1"/>
        </w:tblPrEx>
        <w:trPr>
          <w:trHeight w:val="173"/>
          <w:tblCellSpacing w:w="20" w:type="dxa"/>
        </w:trPr>
        <w:tc>
          <w:tcPr>
            <w:tcW w:w="1528" w:type="pct"/>
            <w:shd w:val="clear" w:color="auto" w:fill="auto"/>
            <w:vAlign w:val="center"/>
          </w:tcPr>
          <w:p w14:paraId="7E5199F7" w14:textId="77777777" w:rsidR="00F92020" w:rsidRPr="00387D17" w:rsidRDefault="00F92020" w:rsidP="00387D17">
            <w:pPr>
              <w:spacing w:after="0"/>
              <w:ind w:left="-26"/>
              <w:rPr>
                <w:rFonts w:ascii="Times New Roman" w:hAnsi="Times New Roman"/>
                <w:b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Фотография маркировки</w:t>
            </w:r>
          </w:p>
        </w:tc>
        <w:tc>
          <w:tcPr>
            <w:tcW w:w="795" w:type="pct"/>
            <w:vAlign w:val="center"/>
          </w:tcPr>
          <w:p w14:paraId="1B8C85D4" w14:textId="77777777" w:rsidR="00F92020" w:rsidRPr="00387D17" w:rsidRDefault="00F92020" w:rsidP="00387D1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7D17">
              <w:rPr>
                <w:rFonts w:ascii="Times New Roman" w:hAnsi="Times New Roman"/>
                <w:sz w:val="20"/>
                <w:szCs w:val="20"/>
              </w:rPr>
              <w:t>есть / нет</w:t>
            </w:r>
          </w:p>
        </w:tc>
        <w:tc>
          <w:tcPr>
            <w:tcW w:w="1879" w:type="pct"/>
            <w:vMerge/>
            <w:vAlign w:val="center"/>
          </w:tcPr>
          <w:p w14:paraId="78F6DB79" w14:textId="77777777" w:rsidR="00F92020" w:rsidRPr="00387D17" w:rsidRDefault="00F92020" w:rsidP="00387D1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shd w:val="clear" w:color="auto" w:fill="auto"/>
            <w:vAlign w:val="center"/>
          </w:tcPr>
          <w:p w14:paraId="314E9969" w14:textId="77777777" w:rsidR="00F92020" w:rsidRPr="00387D17" w:rsidRDefault="00F92020" w:rsidP="00387D1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2D48B78" w14:textId="2DCA021C" w:rsidR="00F92020" w:rsidRPr="00387D17" w:rsidRDefault="00F92020" w:rsidP="00387D1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387D17">
        <w:rPr>
          <w:rFonts w:ascii="Times New Roman" w:hAnsi="Times New Roman"/>
          <w:b/>
          <w:sz w:val="18"/>
          <w:szCs w:val="18"/>
        </w:rPr>
        <w:t>ЗАПОЛНЯЕТСЯ</w:t>
      </w:r>
      <w:r w:rsidR="00387D17" w:rsidRPr="00387D17">
        <w:rPr>
          <w:rFonts w:ascii="Times New Roman" w:hAnsi="Times New Roman"/>
          <w:b/>
          <w:sz w:val="18"/>
          <w:szCs w:val="18"/>
        </w:rPr>
        <w:t xml:space="preserve"> ТОЛЬКО</w:t>
      </w:r>
      <w:r w:rsidRPr="00387D17">
        <w:rPr>
          <w:rFonts w:ascii="Times New Roman" w:hAnsi="Times New Roman"/>
          <w:b/>
          <w:sz w:val="18"/>
          <w:szCs w:val="18"/>
        </w:rPr>
        <w:t xml:space="preserve"> ПРИ ПРОВЕДЕНИИ ТИПОВЫХ И ПЕРИОДИЧЕСКИХ ИСПЫТАНИЙ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017"/>
        <w:gridCol w:w="6665"/>
      </w:tblGrid>
      <w:tr w:rsidR="00F92020" w:rsidRPr="00387D17" w14:paraId="06CEE95D" w14:textId="77777777" w:rsidTr="00465FF9">
        <w:trPr>
          <w:trHeight w:val="349"/>
          <w:tblCellSpacing w:w="20" w:type="dxa"/>
        </w:trPr>
        <w:tc>
          <w:tcPr>
            <w:tcW w:w="1528" w:type="pct"/>
            <w:shd w:val="clear" w:color="auto" w:fill="auto"/>
            <w:vAlign w:val="center"/>
          </w:tcPr>
          <w:p w14:paraId="7EF73CE7" w14:textId="77777777" w:rsidR="00F92020" w:rsidRPr="00387D17" w:rsidRDefault="00F92020" w:rsidP="00387D17">
            <w:pPr>
              <w:spacing w:after="0"/>
              <w:ind w:left="-26"/>
              <w:rPr>
                <w:rFonts w:ascii="Times New Roman" w:hAnsi="Times New Roman"/>
                <w:b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Юридический адрес производителя</w:t>
            </w:r>
          </w:p>
        </w:tc>
        <w:tc>
          <w:tcPr>
            <w:tcW w:w="3415" w:type="pct"/>
            <w:shd w:val="clear" w:color="auto" w:fill="auto"/>
            <w:vAlign w:val="center"/>
          </w:tcPr>
          <w:p w14:paraId="6DE8609A" w14:textId="77777777" w:rsidR="00F92020" w:rsidRPr="00387D17" w:rsidRDefault="00F92020" w:rsidP="00387D1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92020" w:rsidRPr="00387D17" w14:paraId="3DA0FD09" w14:textId="77777777" w:rsidTr="00465FF9">
        <w:trPr>
          <w:trHeight w:val="349"/>
          <w:tblCellSpacing w:w="20" w:type="dxa"/>
        </w:trPr>
        <w:tc>
          <w:tcPr>
            <w:tcW w:w="1528" w:type="pct"/>
            <w:shd w:val="clear" w:color="auto" w:fill="auto"/>
            <w:vAlign w:val="center"/>
          </w:tcPr>
          <w:p w14:paraId="4ADB3A2D" w14:textId="77777777" w:rsidR="00F92020" w:rsidRPr="00387D17" w:rsidRDefault="00F92020" w:rsidP="00387D17">
            <w:pPr>
              <w:spacing w:after="0"/>
              <w:ind w:left="-26"/>
              <w:rPr>
                <w:rFonts w:ascii="Times New Roman" w:hAnsi="Times New Roman"/>
                <w:b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Фактический адрес производства</w:t>
            </w:r>
          </w:p>
        </w:tc>
        <w:tc>
          <w:tcPr>
            <w:tcW w:w="3415" w:type="pct"/>
            <w:shd w:val="clear" w:color="auto" w:fill="auto"/>
            <w:vAlign w:val="center"/>
          </w:tcPr>
          <w:p w14:paraId="57539C53" w14:textId="77777777" w:rsidR="00F92020" w:rsidRPr="00387D17" w:rsidRDefault="00F92020" w:rsidP="00387D1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92020" w:rsidRPr="00387D17" w14:paraId="28DFEC9F" w14:textId="77777777" w:rsidTr="00465FF9">
        <w:trPr>
          <w:trHeight w:val="318"/>
          <w:tblCellSpacing w:w="20" w:type="dxa"/>
        </w:trPr>
        <w:tc>
          <w:tcPr>
            <w:tcW w:w="1528" w:type="pct"/>
            <w:shd w:val="clear" w:color="auto" w:fill="auto"/>
            <w:vAlign w:val="center"/>
          </w:tcPr>
          <w:p w14:paraId="641816C9" w14:textId="77777777" w:rsidR="00F92020" w:rsidRPr="00387D17" w:rsidDel="00476DFD" w:rsidRDefault="00F92020" w:rsidP="00387D17">
            <w:pPr>
              <w:spacing w:after="0"/>
              <w:ind w:left="-26"/>
              <w:rPr>
                <w:rFonts w:ascii="Times New Roman" w:hAnsi="Times New Roman"/>
                <w:b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Марка и наименование изготовителя сырья</w:t>
            </w:r>
          </w:p>
        </w:tc>
        <w:tc>
          <w:tcPr>
            <w:tcW w:w="3415" w:type="pct"/>
            <w:shd w:val="clear" w:color="auto" w:fill="auto"/>
            <w:vAlign w:val="center"/>
          </w:tcPr>
          <w:p w14:paraId="0B2F1908" w14:textId="77777777" w:rsidR="00F92020" w:rsidRPr="00387D17" w:rsidRDefault="00F92020" w:rsidP="00387D1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18569C0" w14:textId="77777777" w:rsidR="00F92020" w:rsidRPr="00387D17" w:rsidRDefault="00F92020" w:rsidP="00387D17">
      <w:pPr>
        <w:numPr>
          <w:ilvl w:val="0"/>
          <w:numId w:val="2"/>
        </w:numPr>
        <w:tabs>
          <w:tab w:val="left" w:pos="318"/>
        </w:tabs>
        <w:spacing w:after="0" w:line="240" w:lineRule="auto"/>
        <w:ind w:left="22" w:firstLine="0"/>
        <w:jc w:val="center"/>
        <w:rPr>
          <w:rFonts w:ascii="Times New Roman" w:hAnsi="Times New Roman"/>
          <w:b/>
          <w:sz w:val="20"/>
          <w:szCs w:val="20"/>
        </w:rPr>
      </w:pPr>
      <w:r w:rsidRPr="00387D17">
        <w:rPr>
          <w:rFonts w:ascii="Times New Roman" w:hAnsi="Times New Roman"/>
          <w:b/>
          <w:sz w:val="20"/>
          <w:szCs w:val="20"/>
        </w:rPr>
        <w:t>ПЕРЕЧЕНЬ НЕОБХОДИМЫХ ИСПЫТАНИЙ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997"/>
        <w:gridCol w:w="6685"/>
      </w:tblGrid>
      <w:tr w:rsidR="00F92020" w:rsidRPr="00387D17" w14:paraId="50CF3C03" w14:textId="77777777" w:rsidTr="00387D17">
        <w:trPr>
          <w:trHeight w:val="1836"/>
          <w:tblCellSpacing w:w="20" w:type="dxa"/>
        </w:trPr>
        <w:tc>
          <w:tcPr>
            <w:tcW w:w="1517" w:type="pct"/>
            <w:shd w:val="clear" w:color="auto" w:fill="auto"/>
            <w:vAlign w:val="center"/>
          </w:tcPr>
          <w:p w14:paraId="6636CA5B" w14:textId="77777777" w:rsidR="00F92020" w:rsidRPr="00387D17" w:rsidRDefault="00F92020" w:rsidP="00387D17">
            <w:pPr>
              <w:spacing w:after="0"/>
              <w:ind w:left="-26"/>
              <w:rPr>
                <w:rFonts w:ascii="Times New Roman" w:hAnsi="Times New Roman"/>
                <w:b/>
                <w:sz w:val="20"/>
                <w:szCs w:val="20"/>
              </w:rPr>
            </w:pPr>
            <w:r w:rsidRPr="00387D17">
              <w:rPr>
                <w:rFonts w:ascii="Times New Roman" w:hAnsi="Times New Roman"/>
                <w:b/>
                <w:sz w:val="20"/>
                <w:szCs w:val="20"/>
              </w:rPr>
              <w:t>Наименование испытаний, методы и условия проведения испытаний (при необходимости)</w:t>
            </w:r>
          </w:p>
        </w:tc>
        <w:tc>
          <w:tcPr>
            <w:tcW w:w="3421" w:type="pct"/>
            <w:shd w:val="clear" w:color="auto" w:fill="auto"/>
            <w:vAlign w:val="center"/>
          </w:tcPr>
          <w:p w14:paraId="5EFDFC91" w14:textId="77777777" w:rsidR="00F92020" w:rsidRPr="00387D17" w:rsidRDefault="00F92020" w:rsidP="00387D1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297B6E3" w14:textId="77777777" w:rsidR="00F92020" w:rsidRPr="00387D17" w:rsidRDefault="00F92020" w:rsidP="00387D17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9682"/>
      </w:tblGrid>
      <w:tr w:rsidR="00F92020" w:rsidRPr="00387D17" w14:paraId="4167A7A6" w14:textId="77777777" w:rsidTr="00387D17">
        <w:trPr>
          <w:trHeight w:val="1174"/>
          <w:tblCellSpacing w:w="20" w:type="dxa"/>
        </w:trPr>
        <w:tc>
          <w:tcPr>
            <w:tcW w:w="4962" w:type="pct"/>
            <w:shd w:val="clear" w:color="auto" w:fill="auto"/>
            <w:vAlign w:val="center"/>
          </w:tcPr>
          <w:p w14:paraId="314FEA06" w14:textId="77777777" w:rsidR="00F92020" w:rsidRPr="00387D17" w:rsidRDefault="00F92020" w:rsidP="00387D1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7D17">
              <w:rPr>
                <w:rFonts w:ascii="Times New Roman" w:hAnsi="Times New Roman"/>
                <w:sz w:val="20"/>
                <w:szCs w:val="20"/>
              </w:rPr>
              <w:t>Должность, подпись, расшифровка подписи (ФИО) контактного лица</w:t>
            </w:r>
          </w:p>
          <w:p w14:paraId="61D1AD90" w14:textId="77777777" w:rsidR="00F92020" w:rsidRPr="00387D17" w:rsidRDefault="00F92020" w:rsidP="00387D1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3FC4ECB" w14:textId="77777777" w:rsidR="00F92020" w:rsidRPr="00387D17" w:rsidRDefault="00F92020" w:rsidP="00387D1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7D17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</w:t>
            </w:r>
          </w:p>
        </w:tc>
      </w:tr>
    </w:tbl>
    <w:p w14:paraId="59C330CA" w14:textId="77777777" w:rsidR="008A79D4" w:rsidRPr="00387D17" w:rsidRDefault="008A79D4" w:rsidP="00387D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sectPr w:rsidR="008A79D4" w:rsidRPr="00387D17" w:rsidSect="00387D17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F0037"/>
    <w:multiLevelType w:val="multilevel"/>
    <w:tmpl w:val="262A9F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1" w15:restartNumberingAfterBreak="0">
    <w:nsid w:val="55F01874"/>
    <w:multiLevelType w:val="hybridMultilevel"/>
    <w:tmpl w:val="99AE1762"/>
    <w:lvl w:ilvl="0" w:tplc="8592903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50399">
    <w:abstractNumId w:val="0"/>
  </w:num>
  <w:num w:numId="2" w16cid:durableId="951209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1A11"/>
    <w:rsid w:val="00093FA1"/>
    <w:rsid w:val="000C0623"/>
    <w:rsid w:val="00387D17"/>
    <w:rsid w:val="003D2254"/>
    <w:rsid w:val="003F5489"/>
    <w:rsid w:val="005034DB"/>
    <w:rsid w:val="005A0FEE"/>
    <w:rsid w:val="00892D4A"/>
    <w:rsid w:val="008A79D4"/>
    <w:rsid w:val="00C10F11"/>
    <w:rsid w:val="00DB6A4A"/>
    <w:rsid w:val="00E01A11"/>
    <w:rsid w:val="00EC2F5D"/>
    <w:rsid w:val="00F34D63"/>
    <w:rsid w:val="00F9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D07B"/>
  <w15:docId w15:val="{073DC2A6-B8E0-42B6-8066-363078E8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6E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E4CA1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30">
    <w:name w:val="Body Text 3"/>
    <w:basedOn w:val="a"/>
    <w:link w:val="31"/>
    <w:rsid w:val="00F9202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kern w:val="24"/>
      <w:sz w:val="16"/>
      <w:szCs w:val="16"/>
      <w:lang w:val="en-US"/>
    </w:rPr>
  </w:style>
  <w:style w:type="character" w:customStyle="1" w:styleId="31">
    <w:name w:val="Основной текст 3 Знак"/>
    <w:basedOn w:val="a0"/>
    <w:link w:val="30"/>
    <w:rsid w:val="00F92020"/>
    <w:rPr>
      <w:rFonts w:ascii="Arial" w:eastAsia="Times New Roman" w:hAnsi="Arial" w:cs="Times New Roman"/>
      <w:kern w:val="24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ianpost.ru/)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ussianpo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trubexp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log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/Rk5lnc+l3Jj3delqx9tWg/b9ZA==">AMUW2mVHxr1cR0R6Y3u/JuD48e7O/W6EnjOenkoeqVkfWdsLxdUuXa0VlOru9HT4S1xrrLWfGtp1El2QsZkWsWrNLbjeMDbqOsp8kB4zVkSea1rIDWwL61w=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Трубный</dc:creator>
  <cp:lastModifiedBy>Трубопроводный Эксперт</cp:lastModifiedBy>
  <cp:revision>7</cp:revision>
  <dcterms:created xsi:type="dcterms:W3CDTF">2023-02-20T10:40:00Z</dcterms:created>
  <dcterms:modified xsi:type="dcterms:W3CDTF">2024-11-18T16:04:00Z</dcterms:modified>
</cp:coreProperties>
</file>